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A7" w:rsidRPr="001C6B63" w:rsidRDefault="00BC4DA7" w:rsidP="00BC4DA7">
      <w:pPr>
        <w:jc w:val="right"/>
        <w:rPr>
          <w:rFonts w:ascii="Arial" w:hAnsi="Arial" w:cs="Arial"/>
        </w:rPr>
      </w:pPr>
      <w:r w:rsidRPr="001C6B63">
        <w:rPr>
          <w:rFonts w:ascii="Arial" w:hAnsi="Arial" w:cs="Arial"/>
        </w:rPr>
        <w:t>Приложение № 6</w:t>
      </w:r>
    </w:p>
    <w:p w:rsidR="00BC4DA7" w:rsidRPr="001C6B63" w:rsidRDefault="00BC4DA7" w:rsidP="00BC4DA7">
      <w:pPr>
        <w:spacing w:after="0"/>
        <w:jc w:val="right"/>
        <w:rPr>
          <w:rFonts w:ascii="Arial" w:hAnsi="Arial" w:cs="Arial"/>
        </w:rPr>
      </w:pPr>
      <w:r w:rsidRPr="001C6B63">
        <w:rPr>
          <w:rFonts w:ascii="Arial" w:hAnsi="Arial" w:cs="Arial"/>
        </w:rPr>
        <w:t>к решению Совета депутатов</w:t>
      </w:r>
    </w:p>
    <w:p w:rsidR="00BC4DA7" w:rsidRPr="001C6B63" w:rsidRDefault="00BC4DA7" w:rsidP="00BC4DA7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1C6B63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1C6B63">
        <w:rPr>
          <w:rFonts w:ascii="Arial" w:hAnsi="Arial" w:cs="Arial"/>
          <w:kern w:val="0"/>
        </w:rPr>
        <w:t xml:space="preserve"> год</w:t>
      </w:r>
    </w:p>
    <w:p w:rsidR="00BC4DA7" w:rsidRPr="001C6B63" w:rsidRDefault="00BC4DA7" w:rsidP="00BC4DA7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1C6B63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1C6B63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1C6B63">
        <w:rPr>
          <w:rFonts w:ascii="Arial" w:hAnsi="Arial" w:cs="Arial"/>
          <w:kern w:val="0"/>
          <w:lang w:eastAsia="en-US"/>
        </w:rPr>
        <w:t xml:space="preserve"> годов</w:t>
      </w:r>
      <w:r w:rsidRPr="001C6B63">
        <w:rPr>
          <w:rFonts w:ascii="Arial" w:hAnsi="Arial" w:cs="Arial"/>
          <w:bCs/>
          <w:caps/>
          <w:kern w:val="0"/>
        </w:rPr>
        <w:t>»</w:t>
      </w:r>
      <w:r w:rsidRPr="001C6B63">
        <w:rPr>
          <w:rFonts w:ascii="Arial" w:hAnsi="Arial" w:cs="Arial"/>
          <w:kern w:val="0"/>
        </w:rPr>
        <w:t xml:space="preserve"> </w:t>
      </w:r>
    </w:p>
    <w:p w:rsidR="00BC4DA7" w:rsidRPr="001C6B63" w:rsidRDefault="00BC4DA7" w:rsidP="00BC4DA7">
      <w:pPr>
        <w:spacing w:after="0"/>
        <w:jc w:val="center"/>
        <w:rPr>
          <w:rFonts w:ascii="Arial" w:hAnsi="Arial" w:cs="Arial"/>
        </w:rPr>
      </w:pPr>
    </w:p>
    <w:p w:rsidR="00BC4DA7" w:rsidRPr="001C6B63" w:rsidRDefault="00BC4DA7" w:rsidP="00BC4DA7">
      <w:pPr>
        <w:keepNext/>
        <w:spacing w:after="0"/>
        <w:jc w:val="center"/>
        <w:outlineLvl w:val="1"/>
        <w:rPr>
          <w:rFonts w:ascii="Arial" w:hAnsi="Arial" w:cs="Arial"/>
          <w:b/>
          <w:bCs/>
          <w:snapToGrid w:val="0"/>
        </w:rPr>
      </w:pPr>
      <w:bookmarkStart w:id="0" w:name="_GoBack"/>
      <w:bookmarkEnd w:id="0"/>
    </w:p>
    <w:p w:rsidR="00BC4DA7" w:rsidRPr="001C6B63" w:rsidRDefault="00BC4DA7" w:rsidP="00BC4DA7">
      <w:pPr>
        <w:jc w:val="center"/>
        <w:rPr>
          <w:rFonts w:ascii="Arial" w:hAnsi="Arial" w:cs="Arial"/>
          <w:b/>
        </w:rPr>
      </w:pPr>
      <w:r w:rsidRPr="001C6B63">
        <w:rPr>
          <w:rFonts w:ascii="Arial" w:hAnsi="Arial" w:cs="Arial"/>
          <w:b/>
        </w:rPr>
        <w:t>Программа муниципальных внутренних заимствований Варнавинского муниципального округа на 202</w:t>
      </w:r>
      <w:r>
        <w:rPr>
          <w:rFonts w:ascii="Arial" w:hAnsi="Arial" w:cs="Arial"/>
          <w:b/>
        </w:rPr>
        <w:t xml:space="preserve">6 </w:t>
      </w:r>
      <w:r w:rsidRPr="001C6B63">
        <w:rPr>
          <w:rFonts w:ascii="Arial" w:hAnsi="Arial" w:cs="Arial"/>
          <w:b/>
        </w:rPr>
        <w:t>год и структура муниципального долга Варнавинского муниципального округа   на 202</w:t>
      </w:r>
      <w:r>
        <w:rPr>
          <w:rFonts w:ascii="Arial" w:hAnsi="Arial" w:cs="Arial"/>
          <w:b/>
        </w:rPr>
        <w:t>6</w:t>
      </w:r>
      <w:r w:rsidRPr="001C6B63">
        <w:rPr>
          <w:rFonts w:ascii="Arial" w:hAnsi="Arial" w:cs="Arial"/>
          <w:b/>
        </w:rPr>
        <w:t xml:space="preserve"> год</w:t>
      </w:r>
    </w:p>
    <w:p w:rsidR="00BC4DA7" w:rsidRPr="001C6B63" w:rsidRDefault="00BC4DA7" w:rsidP="00BC4DA7">
      <w:pPr>
        <w:jc w:val="right"/>
        <w:rPr>
          <w:rFonts w:ascii="Arial" w:hAnsi="Arial" w:cs="Arial"/>
        </w:rPr>
      </w:pPr>
      <w:r w:rsidRPr="001C6B63">
        <w:rPr>
          <w:rFonts w:ascii="Arial" w:hAnsi="Arial" w:cs="Arial"/>
        </w:rPr>
        <w:t>тыс. руб.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BC4DA7" w:rsidRPr="001C6B63" w:rsidTr="003873D5"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заимствований на 1 января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6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в 202</w:t>
            </w:r>
            <w:r>
              <w:rPr>
                <w:rFonts w:ascii="Arial" w:hAnsi="Arial" w:cs="Arial"/>
                <w:b/>
                <w:bCs/>
                <w:snapToGrid w:val="0"/>
              </w:rPr>
              <w:t>6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Объем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погашения в 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6 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Планируемый объем заимствований на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1 января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20</w:t>
            </w:r>
            <w:r>
              <w:rPr>
                <w:rFonts w:ascii="Arial" w:hAnsi="Arial" w:cs="Arial"/>
                <w:b/>
                <w:bCs/>
                <w:snapToGrid w:val="0"/>
              </w:rPr>
              <w:t>27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BC4DA7" w:rsidRPr="001C6B63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</w:rPr>
              <w:t>Обязательства, действующие на 1 января 202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Pr="001C6B63">
              <w:rPr>
                <w:rFonts w:ascii="Arial" w:hAnsi="Arial" w:cs="Arial"/>
                <w:b/>
                <w:bCs/>
              </w:rPr>
              <w:t xml:space="preserve"> года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b/>
                <w:bCs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Cs/>
                <w:snapToGrid w:val="0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3. Бюджетные кредиты, полученные из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ind w:left="112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</w:rPr>
              <w:t>Обязательства, планируемые в 202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Pr="001C6B63">
              <w:rPr>
                <w:rFonts w:ascii="Arial" w:hAnsi="Arial" w:cs="Arial"/>
                <w:b/>
                <w:bCs/>
              </w:rPr>
              <w:t xml:space="preserve"> году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hanging="30"/>
              <w:jc w:val="center"/>
              <w:rPr>
                <w:rFonts w:ascii="Arial" w:hAnsi="Arial" w:cs="Arial"/>
                <w:bCs/>
                <w:snapToGrid w:val="0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hanging="30"/>
              <w:jc w:val="center"/>
              <w:rPr>
                <w:rFonts w:ascii="Arial" w:hAnsi="Arial" w:cs="Arial"/>
                <w:bCs/>
                <w:snapToGrid w:val="0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-10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-10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2. Муниципальные 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i/>
                <w:color w:val="000000"/>
                <w:kern w:val="0"/>
              </w:rPr>
            </w:pPr>
            <w:r w:rsidRPr="001C6B63">
              <w:rPr>
                <w:rFonts w:ascii="Arial" w:hAnsi="Arial" w:cs="Arial"/>
                <w:i/>
                <w:color w:val="000000"/>
                <w:kern w:val="0"/>
              </w:rPr>
              <w:lastRenderedPageBreak/>
              <w:t>3</w:t>
            </w:r>
            <w:r w:rsidRPr="001C6B63">
              <w:rPr>
                <w:rFonts w:ascii="Arial" w:hAnsi="Arial" w:cs="Arial"/>
                <w:color w:val="000000"/>
                <w:kern w:val="0"/>
              </w:rPr>
              <w:t>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112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1C6B63"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Итого объем внутренних </w:t>
            </w:r>
          </w:p>
          <w:p w:rsidR="00BC4DA7" w:rsidRPr="001C6B63" w:rsidRDefault="00BC4DA7" w:rsidP="003873D5">
            <w:pPr>
              <w:keepNext/>
              <w:overflowPunct/>
              <w:autoSpaceDE/>
              <w:autoSpaceDN/>
              <w:adjustRightInd/>
              <w:spacing w:after="0"/>
              <w:textAlignment w:val="auto"/>
              <w:outlineLvl w:val="3"/>
              <w:rPr>
                <w:rFonts w:ascii="Arial" w:hAnsi="Arial" w:cs="Arial"/>
                <w:b/>
                <w:bCs/>
                <w:i/>
                <w:color w:val="000000"/>
                <w:kern w:val="0"/>
              </w:rPr>
            </w:pPr>
            <w:r w:rsidRPr="001C6B63">
              <w:rPr>
                <w:rFonts w:ascii="Arial" w:hAnsi="Arial" w:cs="Arial"/>
                <w:b/>
                <w:bCs/>
                <w:color w:val="000000"/>
                <w:kern w:val="0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-1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left="-30" w:right="-3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right="-9" w:hanging="3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0,0</w:t>
            </w:r>
          </w:p>
        </w:tc>
      </w:tr>
    </w:tbl>
    <w:p w:rsidR="00BC4DA7" w:rsidRPr="001C6B63" w:rsidRDefault="00BC4DA7" w:rsidP="00BC4DA7">
      <w:pPr>
        <w:jc w:val="right"/>
        <w:rPr>
          <w:rFonts w:ascii="Arial" w:hAnsi="Arial" w:cs="Arial"/>
        </w:rPr>
      </w:pPr>
    </w:p>
    <w:p w:rsidR="00BC4DA7" w:rsidRPr="001C6B63" w:rsidRDefault="00BC4DA7" w:rsidP="00BC4DA7">
      <w:pPr>
        <w:jc w:val="center"/>
        <w:rPr>
          <w:rFonts w:ascii="Arial" w:hAnsi="Arial" w:cs="Arial"/>
          <w:b/>
          <w:bCs/>
        </w:rPr>
      </w:pPr>
      <w:r w:rsidRPr="001C6B63">
        <w:rPr>
          <w:rFonts w:ascii="Arial" w:hAnsi="Arial" w:cs="Arial"/>
          <w:b/>
          <w:bCs/>
        </w:rPr>
        <w:t>Структура муниципального долга Варнавинского округа</w:t>
      </w:r>
    </w:p>
    <w:p w:rsidR="00BC4DA7" w:rsidRPr="001C6B63" w:rsidRDefault="00BC4DA7" w:rsidP="00BC4DA7">
      <w:pPr>
        <w:jc w:val="center"/>
        <w:rPr>
          <w:rFonts w:ascii="Arial" w:hAnsi="Arial" w:cs="Arial"/>
          <w:b/>
          <w:bCs/>
        </w:rPr>
      </w:pPr>
      <w:r w:rsidRPr="001C6B63">
        <w:rPr>
          <w:rFonts w:ascii="Arial" w:hAnsi="Arial" w:cs="Arial"/>
          <w:b/>
          <w:bCs/>
        </w:rPr>
        <w:t xml:space="preserve"> </w:t>
      </w:r>
    </w:p>
    <w:p w:rsidR="00BC4DA7" w:rsidRPr="001C6B63" w:rsidRDefault="00BC4DA7" w:rsidP="00BC4DA7">
      <w:pPr>
        <w:jc w:val="right"/>
        <w:rPr>
          <w:rFonts w:ascii="Arial" w:hAnsi="Arial" w:cs="Arial"/>
        </w:rPr>
      </w:pPr>
      <w:r w:rsidRPr="001C6B63">
        <w:rPr>
          <w:rFonts w:ascii="Arial" w:hAnsi="Arial" w:cs="Arial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BC4DA7" w:rsidRPr="001C6B63" w:rsidTr="003873D5"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Виды долговых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Величина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</w:rPr>
              <w:t>муниципального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долга на 1 января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 xml:space="preserve">6 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>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Предельный объем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привлечения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в 202</w:t>
            </w:r>
            <w:r>
              <w:rPr>
                <w:rFonts w:ascii="Arial" w:hAnsi="Arial" w:cs="Arial"/>
                <w:b/>
                <w:bCs/>
                <w:snapToGrid w:val="0"/>
              </w:rPr>
              <w:t>6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Default="00BC4DA7" w:rsidP="003873D5">
            <w:pPr>
              <w:ind w:right="-12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Предельный объем погашения в </w:t>
            </w:r>
          </w:p>
          <w:p w:rsidR="00BC4DA7" w:rsidRPr="001C6B63" w:rsidRDefault="00BC4DA7" w:rsidP="003873D5">
            <w:pPr>
              <w:ind w:right="-12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202</w:t>
            </w:r>
            <w:r>
              <w:rPr>
                <w:rFonts w:ascii="Arial" w:hAnsi="Arial" w:cs="Arial"/>
                <w:b/>
                <w:bCs/>
                <w:snapToGrid w:val="0"/>
              </w:rPr>
              <w:t>6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Верхний предел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</w:rPr>
              <w:t>муниципального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внутреннего долга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на 1 января</w:t>
            </w:r>
          </w:p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20</w:t>
            </w:r>
            <w:r w:rsidRPr="001C6B63">
              <w:rPr>
                <w:rFonts w:ascii="Arial" w:hAnsi="Arial" w:cs="Arial"/>
                <w:b/>
                <w:bCs/>
                <w:snapToGrid w:val="0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napToGrid w:val="0"/>
              </w:rPr>
              <w:t>7</w:t>
            </w:r>
            <w:r w:rsidRPr="001C6B63">
              <w:rPr>
                <w:rFonts w:ascii="Arial" w:hAnsi="Arial" w:cs="Arial"/>
                <w:b/>
                <w:bCs/>
                <w:snapToGrid w:val="0"/>
              </w:rPr>
              <w:t xml:space="preserve"> года</w:t>
            </w:r>
          </w:p>
        </w:tc>
      </w:tr>
      <w:tr w:rsidR="00BC4DA7" w:rsidRPr="001C6B63" w:rsidTr="003873D5">
        <w:trPr>
          <w:gridAfter w:val="1"/>
          <w:wAfter w:w="1254" w:type="dxa"/>
          <w:trHeight w:val="1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1C6B63">
              <w:rPr>
                <w:rFonts w:ascii="Arial" w:hAnsi="Arial" w:cs="Arial"/>
                <w:snapToGrid w:val="0"/>
              </w:rPr>
              <w:t>0,</w:t>
            </w:r>
            <w:r w:rsidRPr="001C6B63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ind w:hanging="150"/>
              <w:jc w:val="center"/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1C6B63">
              <w:rPr>
                <w:rFonts w:ascii="Arial" w:hAnsi="Arial" w:cs="Arial"/>
                <w:snapToGrid w:val="0"/>
              </w:rPr>
              <w:t>0,</w:t>
            </w:r>
            <w:r w:rsidRPr="001C6B63">
              <w:rPr>
                <w:rFonts w:ascii="Arial" w:hAnsi="Arial" w:cs="Arial"/>
                <w:snapToGrid w:val="0"/>
                <w:lang w:val="en-US"/>
              </w:rPr>
              <w:t>0</w:t>
            </w:r>
          </w:p>
        </w:tc>
      </w:tr>
      <w:tr w:rsidR="00BC4DA7" w:rsidRPr="001C6B63" w:rsidTr="003873D5"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 xml:space="preserve">3. Бюджетные кредиты, полученные из </w:t>
            </w:r>
          </w:p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rPr>
                <w:rFonts w:ascii="Arial" w:hAnsi="Arial" w:cs="Arial"/>
                <w:snapToGrid w:val="0"/>
              </w:rPr>
            </w:pPr>
            <w:r w:rsidRPr="001C6B63">
              <w:rPr>
                <w:rFonts w:ascii="Arial" w:hAnsi="Arial" w:cs="Arial"/>
                <w:snapToGrid w:val="0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</w:rPr>
            </w:pPr>
            <w:r w:rsidRPr="001C6B63">
              <w:rPr>
                <w:rFonts w:ascii="Arial" w:hAnsi="Arial" w:cs="Arial"/>
                <w:snapToGrid w:val="0"/>
              </w:rPr>
              <w:t>0,0</w:t>
            </w:r>
          </w:p>
        </w:tc>
      </w:tr>
      <w:tr w:rsidR="00BC4DA7" w:rsidRPr="001C6B63" w:rsidTr="003873D5"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1C6B63">
              <w:rPr>
                <w:rFonts w:ascii="Arial" w:hAnsi="Arial" w:cs="Arial"/>
                <w:b/>
                <w:bCs/>
                <w:snapToGrid w:val="0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1C6B63">
              <w:rPr>
                <w:rFonts w:ascii="Arial" w:hAnsi="Arial" w:cs="Arial"/>
                <w:b/>
                <w:snapToGrid w:val="0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1C6B63">
              <w:rPr>
                <w:rFonts w:ascii="Arial" w:hAnsi="Arial" w:cs="Arial"/>
                <w:b/>
                <w:snapToGrid w:val="0"/>
              </w:rPr>
              <w:t>0,</w:t>
            </w:r>
            <w:r w:rsidRPr="001C6B63">
              <w:rPr>
                <w:rFonts w:ascii="Arial" w:hAnsi="Arial" w:cs="Arial"/>
                <w:b/>
                <w:snapToGrid w:val="0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1C6B63">
              <w:rPr>
                <w:rFonts w:ascii="Arial" w:hAnsi="Arial" w:cs="Arial"/>
                <w:b/>
                <w:snapToGrid w:val="0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4DA7" w:rsidRPr="001C6B63" w:rsidRDefault="00BC4DA7" w:rsidP="003873D5">
            <w:pPr>
              <w:jc w:val="center"/>
              <w:rPr>
                <w:rFonts w:ascii="Arial" w:hAnsi="Arial" w:cs="Arial"/>
                <w:b/>
                <w:snapToGrid w:val="0"/>
                <w:lang w:val="en-US"/>
              </w:rPr>
            </w:pPr>
            <w:r w:rsidRPr="001C6B63">
              <w:rPr>
                <w:rFonts w:ascii="Arial" w:hAnsi="Arial" w:cs="Arial"/>
                <w:b/>
                <w:snapToGrid w:val="0"/>
              </w:rPr>
              <w:t>0,</w:t>
            </w:r>
            <w:r w:rsidRPr="001C6B63">
              <w:rPr>
                <w:rFonts w:ascii="Arial" w:hAnsi="Arial" w:cs="Arial"/>
                <w:b/>
                <w:snapToGrid w:val="0"/>
                <w:lang w:val="en-US"/>
              </w:rPr>
              <w:t>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BC4DA7" w:rsidRPr="001C6B63" w:rsidRDefault="00BC4DA7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BC4DA7" w:rsidRPr="001C6B63" w:rsidRDefault="00BC4DA7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  <w:p w:rsidR="00BC4DA7" w:rsidRPr="001C6B63" w:rsidRDefault="00BC4DA7" w:rsidP="003873D5">
            <w:pPr>
              <w:ind w:right="112"/>
              <w:rPr>
                <w:rFonts w:ascii="Arial" w:hAnsi="Arial" w:cs="Arial"/>
                <w:snapToGrid w:val="0"/>
              </w:rPr>
            </w:pPr>
          </w:p>
        </w:tc>
      </w:tr>
    </w:tbl>
    <w:p w:rsidR="00463E39" w:rsidRDefault="00463E39"/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DA7"/>
    <w:rsid w:val="00463E39"/>
    <w:rsid w:val="00B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519CE-4582-4056-B6D9-441486FC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A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2025-11-18T05:51:00Z</dcterms:created>
  <dcterms:modified xsi:type="dcterms:W3CDTF">2025-11-18T05:52:00Z</dcterms:modified>
</cp:coreProperties>
</file>